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Pr="00FB67C5" w:rsidRDefault="00C64B1B" w:rsidP="00FB67C5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276"/>
        <w:gridCol w:w="3544"/>
        <w:gridCol w:w="3685"/>
        <w:gridCol w:w="5187"/>
      </w:tblGrid>
      <w:tr w:rsidR="00A06425" w:rsidRPr="00FB67C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294C62" w:rsidRPr="00FB67C5" w:rsidRDefault="00A06425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Nazwa dokumentu:</w:t>
            </w:r>
          </w:p>
          <w:p w:rsidR="00A06425" w:rsidRPr="00FB67C5" w:rsidRDefault="00FB4C2C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Projekt rozporządzenia Ministra Cyfryzacji w sprawie gwarantowanej dostępności oraz pojemności skrzynek doręczeń dla podmiotów publicznych oraz podmiotów niepublicznych</w:t>
            </w:r>
          </w:p>
        </w:tc>
      </w:tr>
      <w:tr w:rsidR="00A06425" w:rsidRPr="00FB67C5" w:rsidTr="00333585">
        <w:tc>
          <w:tcPr>
            <w:tcW w:w="562" w:type="dxa"/>
            <w:shd w:val="clear" w:color="auto" w:fill="auto"/>
            <w:vAlign w:val="center"/>
          </w:tcPr>
          <w:p w:rsidR="00A06425" w:rsidRPr="00FB67C5" w:rsidRDefault="00A06425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B67C5" w:rsidRDefault="00A06425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6425" w:rsidRPr="00FB67C5" w:rsidRDefault="00A06425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FB67C5" w:rsidRDefault="00A06425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06425" w:rsidRPr="00FB67C5" w:rsidRDefault="00A06425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187" w:type="dxa"/>
            <w:vAlign w:val="center"/>
          </w:tcPr>
          <w:p w:rsidR="00A06425" w:rsidRPr="00FB67C5" w:rsidRDefault="00A06425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</w:t>
            </w:r>
          </w:p>
        </w:tc>
      </w:tr>
      <w:tr w:rsidR="00A06425" w:rsidRPr="00FB67C5" w:rsidTr="00333585">
        <w:tc>
          <w:tcPr>
            <w:tcW w:w="562" w:type="dxa"/>
            <w:shd w:val="clear" w:color="auto" w:fill="auto"/>
          </w:tcPr>
          <w:p w:rsidR="00A06425" w:rsidRPr="00FB67C5" w:rsidRDefault="00A06425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C0572C"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FB67C5" w:rsidRDefault="001C328F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276" w:type="dxa"/>
            <w:shd w:val="clear" w:color="auto" w:fill="auto"/>
          </w:tcPr>
          <w:p w:rsidR="00A06425" w:rsidRPr="00FB67C5" w:rsidRDefault="001C328F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§ 4 ust. 3</w:t>
            </w:r>
          </w:p>
        </w:tc>
        <w:tc>
          <w:tcPr>
            <w:tcW w:w="3544" w:type="dxa"/>
            <w:shd w:val="clear" w:color="auto" w:fill="auto"/>
          </w:tcPr>
          <w:p w:rsidR="00A06425" w:rsidRPr="00FB67C5" w:rsidRDefault="001C328F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RCL podtrzymuje uwagę zgłoszoną w pkt 2 przy piśmie z dnia 23 kwietnia 2021 r. dotyczącą dokonania zmiany redakcyjnej w § 4 ust. 3 tak aby kwestia </w:t>
            </w:r>
            <w:r w:rsidRPr="00FB67C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archiwizowania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 została usunięta z projektu. W ocenie RCL kwestia archiwizacji stanowi regulację ustawową</w:t>
            </w:r>
            <w:r w:rsidR="00FB4C2C"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i powinna zostać usunięta z projektu rozporządzenia.</w:t>
            </w:r>
          </w:p>
        </w:tc>
        <w:tc>
          <w:tcPr>
            <w:tcW w:w="3685" w:type="dxa"/>
            <w:shd w:val="clear" w:color="auto" w:fill="auto"/>
          </w:tcPr>
          <w:p w:rsidR="00A06425" w:rsidRPr="00FB67C5" w:rsidRDefault="00FB4C2C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Odpowiednie przeredagowanie treści § 4 ust. 3</w:t>
            </w:r>
          </w:p>
        </w:tc>
        <w:tc>
          <w:tcPr>
            <w:tcW w:w="5187" w:type="dxa"/>
          </w:tcPr>
          <w:p w:rsidR="00B54FAA" w:rsidRPr="00FB67C5" w:rsidRDefault="000656C2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C43619" w:rsidRPr="00FB67C5" w:rsidRDefault="00294C62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Przepis otrzyma</w:t>
            </w:r>
            <w:r w:rsidR="00FB67C5"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 w:rsidR="004B2A6D"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43619" w:rsidRPr="00FB67C5">
              <w:rPr>
                <w:rFonts w:asciiTheme="minorHAnsi" w:hAnsiTheme="minorHAnsi" w:cstheme="minorHAnsi"/>
                <w:sz w:val="22"/>
                <w:szCs w:val="22"/>
              </w:rPr>
              <w:t>brzmienie</w:t>
            </w:r>
            <w:r w:rsidR="004B2A6D"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:rsidR="002F5D3D" w:rsidRPr="00FB67C5" w:rsidRDefault="00C43619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FB67C5">
              <w:rPr>
                <w:rFonts w:asciiTheme="minorHAnsi" w:hAnsiTheme="minorHAnsi" w:cstheme="minorHAnsi"/>
                <w:i/>
                <w:sz w:val="22"/>
                <w:szCs w:val="22"/>
              </w:rPr>
              <w:t>3.</w:t>
            </w:r>
            <w:r w:rsidR="00294C62"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B2A6D" w:rsidRPr="00FB67C5">
              <w:rPr>
                <w:rFonts w:asciiTheme="minorHAnsi" w:hAnsiTheme="minorHAnsi" w:cstheme="minorHAnsi"/>
                <w:i/>
                <w:sz w:val="22"/>
                <w:szCs w:val="22"/>
              </w:rPr>
              <w:t>Po zapełnieniu 98% gwarantowanej pojemności skrzynki doręczeń operator wyznaczony umożliwia użytkownikowi jedynie odczytywanie i usuwanie korespondencji. W tym przypadku użytkownik traci możliwość pobierania na skrzynkę, wysyłania oraz tworzenia nowej korespondencji.</w:t>
            </w:r>
            <w:r w:rsidR="00294C62" w:rsidRPr="00FB67C5">
              <w:rPr>
                <w:rFonts w:asciiTheme="minorHAnsi" w:hAnsiTheme="minorHAnsi" w:cstheme="minorHAnsi"/>
                <w:i/>
                <w:sz w:val="22"/>
                <w:szCs w:val="22"/>
              </w:rPr>
              <w:t>”</w:t>
            </w:r>
          </w:p>
        </w:tc>
      </w:tr>
      <w:tr w:rsidR="00A06425" w:rsidRPr="00FB67C5" w:rsidTr="00333585">
        <w:tc>
          <w:tcPr>
            <w:tcW w:w="562" w:type="dxa"/>
            <w:shd w:val="clear" w:color="auto" w:fill="auto"/>
          </w:tcPr>
          <w:p w:rsidR="00A06425" w:rsidRPr="00FB67C5" w:rsidRDefault="00A06425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C0572C"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FB67C5" w:rsidRDefault="001C328F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276" w:type="dxa"/>
            <w:shd w:val="clear" w:color="auto" w:fill="auto"/>
          </w:tcPr>
          <w:p w:rsidR="00A06425" w:rsidRPr="00FB67C5" w:rsidRDefault="001C328F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§ 4 ust. 4</w:t>
            </w:r>
          </w:p>
        </w:tc>
        <w:tc>
          <w:tcPr>
            <w:tcW w:w="3544" w:type="dxa"/>
            <w:shd w:val="clear" w:color="auto" w:fill="auto"/>
          </w:tcPr>
          <w:p w:rsidR="00A06425" w:rsidRPr="00FB67C5" w:rsidRDefault="008B2907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Zaproponowane brzmienie § 4 ust. 4 projektu rozporządzenia nadal wykracza poza</w:t>
            </w:r>
            <w:r w:rsidR="00FB67C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zakres materii delegowanej do uregulowania w tym akcie.</w:t>
            </w:r>
          </w:p>
        </w:tc>
        <w:tc>
          <w:tcPr>
            <w:tcW w:w="3685" w:type="dxa"/>
            <w:shd w:val="clear" w:color="auto" w:fill="auto"/>
          </w:tcPr>
          <w:p w:rsidR="00A06425" w:rsidRPr="00FB67C5" w:rsidRDefault="00551AFE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„4. W przypadku zapełnienia przekraczającego 98% gwarantowanej pojemności skrzynki doręczeń, w celu zapewnienia gwarantowanej pojemności skrzynki doręczeń,   operator wyznaczony okresowo informuje użytkownika o konieczności usunięcia korespondencji.”. </w:t>
            </w:r>
          </w:p>
        </w:tc>
        <w:tc>
          <w:tcPr>
            <w:tcW w:w="5187" w:type="dxa"/>
          </w:tcPr>
          <w:p w:rsidR="004B2A6D" w:rsidRPr="00FB67C5" w:rsidRDefault="002F5D3D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</w:t>
            </w:r>
            <w:r w:rsidR="004B2A6D"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</w:p>
          <w:p w:rsidR="00294C62" w:rsidRPr="00FB67C5" w:rsidRDefault="00294C62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Przepis otrzyma</w:t>
            </w:r>
            <w:r w:rsidR="00FB67C5"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 brzmienie: </w:t>
            </w:r>
          </w:p>
          <w:p w:rsidR="004B2A6D" w:rsidRPr="00FB67C5" w:rsidRDefault="00294C62" w:rsidP="00FB67C5">
            <w:pPr>
              <w:spacing w:after="12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„4. </w:t>
            </w:r>
            <w:r w:rsidR="004B2A6D" w:rsidRPr="00FB67C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 przypadku zapełnienia przekraczającego 98% gwarantowanej pojemności skrzynki doręczeń, w celu zapewnienia gwarantowanej </w:t>
            </w:r>
            <w:r w:rsidRPr="00FB67C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pojemności skrzynki doręczeń, </w:t>
            </w:r>
            <w:r w:rsidR="004B2A6D" w:rsidRPr="00FB67C5">
              <w:rPr>
                <w:rFonts w:asciiTheme="minorHAnsi" w:hAnsiTheme="minorHAnsi" w:cstheme="minorHAnsi"/>
                <w:i/>
                <w:sz w:val="22"/>
                <w:szCs w:val="22"/>
              </w:rPr>
              <w:t>operator wyznaczony każdorazowo informuje użytkownika o konieczności usunięcia korespondencji.</w:t>
            </w:r>
            <w:r w:rsidRPr="00FB67C5">
              <w:rPr>
                <w:rFonts w:asciiTheme="minorHAnsi" w:hAnsiTheme="minorHAnsi" w:cstheme="minorHAnsi"/>
                <w:i/>
                <w:sz w:val="22"/>
                <w:szCs w:val="22"/>
              </w:rPr>
              <w:t>”</w:t>
            </w:r>
          </w:p>
          <w:p w:rsidR="00B54FAA" w:rsidRPr="00FB67C5" w:rsidRDefault="00B54FAA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Jednocześnie z powodu uwagi wniesionej przez MAP </w:t>
            </w:r>
            <w:r w:rsidR="00FB67C5">
              <w:rPr>
                <w:rFonts w:asciiTheme="minorHAnsi" w:hAnsiTheme="minorHAnsi" w:cstheme="minorHAnsi"/>
                <w:sz w:val="22"/>
                <w:szCs w:val="22"/>
              </w:rPr>
              <w:t>zaproponowano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 zastąpienie wyrazu </w:t>
            </w:r>
            <w:r w:rsidRPr="00FB67C5">
              <w:rPr>
                <w:rFonts w:asciiTheme="minorHAnsi" w:hAnsiTheme="minorHAnsi" w:cstheme="minorHAnsi"/>
                <w:i/>
                <w:sz w:val="22"/>
                <w:szCs w:val="22"/>
              </w:rPr>
              <w:t>„okresowo”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 wyraz</w:t>
            </w:r>
            <w:r w:rsidR="00294C62" w:rsidRPr="00FB67C5">
              <w:rPr>
                <w:rFonts w:asciiTheme="minorHAnsi" w:hAnsiTheme="minorHAnsi" w:cstheme="minorHAnsi"/>
                <w:sz w:val="22"/>
                <w:szCs w:val="22"/>
              </w:rPr>
              <w:t>em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B67C5">
              <w:rPr>
                <w:rFonts w:asciiTheme="minorHAnsi" w:hAnsiTheme="minorHAnsi" w:cstheme="minorHAnsi"/>
                <w:i/>
                <w:sz w:val="22"/>
                <w:szCs w:val="22"/>
              </w:rPr>
              <w:t>„każdorazowo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”. </w:t>
            </w:r>
          </w:p>
          <w:p w:rsidR="00A06425" w:rsidRPr="00FB67C5" w:rsidRDefault="00A14A01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Posiadacz skrzynki będzie więc powiadamiany </w:t>
            </w:r>
            <w:r w:rsidR="00E96A97" w:rsidRPr="00FB67C5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FB67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E96A97"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konieczności usunięcia korespondencji 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więcej niż raz – do ustąpienia problemu.</w:t>
            </w:r>
          </w:p>
        </w:tc>
      </w:tr>
      <w:tr w:rsidR="00CE6091" w:rsidRPr="00FB67C5" w:rsidTr="00333585">
        <w:tc>
          <w:tcPr>
            <w:tcW w:w="562" w:type="dxa"/>
            <w:shd w:val="clear" w:color="auto" w:fill="auto"/>
          </w:tcPr>
          <w:p w:rsidR="00CE6091" w:rsidRPr="00FB67C5" w:rsidRDefault="00885A64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CE6091" w:rsidRPr="00FB67C5" w:rsidRDefault="00CE6091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MAP</w:t>
            </w:r>
          </w:p>
        </w:tc>
        <w:tc>
          <w:tcPr>
            <w:tcW w:w="1276" w:type="dxa"/>
            <w:shd w:val="clear" w:color="auto" w:fill="auto"/>
          </w:tcPr>
          <w:p w:rsidR="00CE6091" w:rsidRPr="00FB67C5" w:rsidRDefault="00CE6091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§ 4 ust. 4</w:t>
            </w:r>
          </w:p>
        </w:tc>
        <w:tc>
          <w:tcPr>
            <w:tcW w:w="3544" w:type="dxa"/>
            <w:shd w:val="clear" w:color="auto" w:fill="auto"/>
          </w:tcPr>
          <w:p w:rsidR="00CE6091" w:rsidRPr="00FB67C5" w:rsidRDefault="00CE6091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Rozporządzenie nakłada obowiązek, który nie był przedmiotem prac zespołu projektowego i nie może być 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zaimplementowany w proponowanym kształcie. Operator wyznaczony poinformował, że obecnie tworzy system według wytycznych otrzymanych z KPRM. W związku z powyższym, MAP przedstawia</w:t>
            </w:r>
            <w:r w:rsidR="00FB67C5">
              <w:rPr>
                <w:rFonts w:asciiTheme="minorHAnsi" w:hAnsiTheme="minorHAnsi" w:cstheme="minorHAnsi"/>
                <w:sz w:val="22"/>
                <w:szCs w:val="22"/>
              </w:rPr>
              <w:t xml:space="preserve"> propozycję nowego brzmienia </w:t>
            </w:r>
            <w:bookmarkStart w:id="0" w:name="_GoBack"/>
            <w:bookmarkEnd w:id="0"/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§ 4. ust. 4.</w:t>
            </w:r>
          </w:p>
        </w:tc>
        <w:tc>
          <w:tcPr>
            <w:tcW w:w="3685" w:type="dxa"/>
            <w:shd w:val="clear" w:color="auto" w:fill="auto"/>
          </w:tcPr>
          <w:p w:rsidR="00CE6091" w:rsidRPr="00FB67C5" w:rsidRDefault="00CE6091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§ 4. ust. 4: „Po zapełnieniu ponad 98% gwarantowanej pojemności skrzynki doręczeń operator wyznaczony 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każdorazowo informuje użytkownika, że dla przywrócenia dostępności wszystkich funkcji skrzynki doręczeń konieczne jest usunięcie części zawartości skrzynki.”</w:t>
            </w:r>
          </w:p>
        </w:tc>
        <w:tc>
          <w:tcPr>
            <w:tcW w:w="5187" w:type="dxa"/>
          </w:tcPr>
          <w:p w:rsidR="00CE6091" w:rsidRPr="00FB67C5" w:rsidRDefault="00B54FAA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Uwaga uwzględniona.</w:t>
            </w:r>
          </w:p>
          <w:p w:rsidR="00B54FAA" w:rsidRPr="00FB67C5" w:rsidRDefault="00B54FAA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Komentarz jak w pkt 2.</w:t>
            </w:r>
          </w:p>
        </w:tc>
      </w:tr>
      <w:tr w:rsidR="00A06425" w:rsidRPr="00FB67C5" w:rsidTr="00333585">
        <w:tc>
          <w:tcPr>
            <w:tcW w:w="562" w:type="dxa"/>
            <w:shd w:val="clear" w:color="auto" w:fill="auto"/>
          </w:tcPr>
          <w:p w:rsidR="00A06425" w:rsidRPr="00FB67C5" w:rsidRDefault="00885A64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A06425" w:rsidRPr="00FB67C5" w:rsidRDefault="001C328F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276" w:type="dxa"/>
            <w:shd w:val="clear" w:color="auto" w:fill="auto"/>
          </w:tcPr>
          <w:p w:rsidR="00A06425" w:rsidRPr="00FB67C5" w:rsidRDefault="001C328F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Załącznik do rozporządzenia</w:t>
            </w:r>
          </w:p>
        </w:tc>
        <w:tc>
          <w:tcPr>
            <w:tcW w:w="3544" w:type="dxa"/>
            <w:shd w:val="clear" w:color="auto" w:fill="auto"/>
          </w:tcPr>
          <w:p w:rsidR="001E2CF9" w:rsidRPr="00FB67C5" w:rsidRDefault="001E2CF9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Odnośnie definicji OCD I DON RCL podtrzymuje uwagę w zakresie informacji nadmiarowych. </w:t>
            </w:r>
          </w:p>
        </w:tc>
        <w:tc>
          <w:tcPr>
            <w:tcW w:w="3685" w:type="dxa"/>
            <w:shd w:val="clear" w:color="auto" w:fill="auto"/>
          </w:tcPr>
          <w:p w:rsidR="00FB4C2C" w:rsidRPr="00FB67C5" w:rsidRDefault="00FB4C2C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RCL proponuje usunąć z definicji:</w:t>
            </w:r>
          </w:p>
          <w:p w:rsidR="00FB4C2C" w:rsidRPr="00FB67C5" w:rsidRDefault="00FB4C2C" w:rsidP="00FB67C5">
            <w:pPr>
              <w:spacing w:after="120"/>
              <w:ind w:left="3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OCD następujący fragment: „Część okresu, w którym prowadzony jest pomiar dostępności (168 godzin) oznaczająca satysfakcjonujący dla podmiotu korzystającego z usługi skrzynki okres dostępności zawierający się w okresie pomiarowym tygodnia.”,</w:t>
            </w:r>
          </w:p>
          <w:p w:rsidR="00FB4C2C" w:rsidRPr="00FB67C5" w:rsidRDefault="00FB4C2C" w:rsidP="00FB67C5">
            <w:pPr>
              <w:spacing w:after="120"/>
              <w:ind w:left="3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DON następujący fragment:</w:t>
            </w:r>
            <w:r w:rsidRPr="00FB67C5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„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Okres niedostępności nieplanowanej to okres, w którym posiadacz skrzynki lub osoby upoważnione nie mogą korzystać ze skrzynki doręczeń z uwagi na jej niedostępność i okres ten nie został zgłoszony z wyprzedzeniem.”</w:t>
            </w:r>
          </w:p>
          <w:p w:rsidR="00A06425" w:rsidRPr="00FB67C5" w:rsidRDefault="00FB4C2C" w:rsidP="00FB67C5">
            <w:pPr>
              <w:spacing w:after="120"/>
              <w:ind w:left="3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i przeniesienie tych fragmentów do treści uzasadnienia projektu.</w:t>
            </w:r>
          </w:p>
        </w:tc>
        <w:tc>
          <w:tcPr>
            <w:tcW w:w="5187" w:type="dxa"/>
          </w:tcPr>
          <w:p w:rsidR="00A06425" w:rsidRPr="00FB67C5" w:rsidRDefault="00A14A01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</w:t>
            </w:r>
            <w:r w:rsidR="00885A64"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FB67C5" w:rsidRPr="00FB67C5" w:rsidRDefault="00B54FAA" w:rsidP="00FB67C5">
            <w:pPr>
              <w:spacing w:after="120"/>
              <w:ind w:left="3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Zgodnie z uwagą usunięto fragment:</w:t>
            </w:r>
          </w:p>
          <w:p w:rsidR="00FB67C5" w:rsidRPr="00FB67C5" w:rsidRDefault="00B54FAA" w:rsidP="00FB67C5">
            <w:pPr>
              <w:spacing w:after="120"/>
              <w:ind w:left="3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FB67C5">
              <w:rPr>
                <w:rFonts w:asciiTheme="minorHAnsi" w:hAnsiTheme="minorHAnsi" w:cstheme="minorHAnsi"/>
                <w:i/>
                <w:sz w:val="22"/>
                <w:szCs w:val="22"/>
              </w:rPr>
              <w:t>Część okresu, w którym prowadzony jest pomiar dostępności (168 godzin) oznaczająca satysfakcjonujący dla podmiotu korzystającego z usługi skrzynki okres dostępności zawierający się w okresie pomiarowym tygodnia.”</w:t>
            </w:r>
          </w:p>
          <w:p w:rsidR="00FB67C5" w:rsidRPr="00FB67C5" w:rsidRDefault="00FB67C5" w:rsidP="00FB67C5">
            <w:pPr>
              <w:spacing w:after="120"/>
              <w:ind w:left="3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</w:p>
          <w:p w:rsidR="00FB67C5" w:rsidRPr="00FB67C5" w:rsidRDefault="00965792" w:rsidP="00FB67C5">
            <w:pPr>
              <w:spacing w:after="120"/>
              <w:ind w:left="3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eastAsiaTheme="minorEastAsia" w:hAnsiTheme="minorHAnsi" w:cstheme="minorHAnsi"/>
                <w:sz w:val="22"/>
                <w:szCs w:val="22"/>
              </w:rPr>
              <w:t>„</w:t>
            </w:r>
            <w:r w:rsidRPr="00FB67C5">
              <w:rPr>
                <w:rFonts w:asciiTheme="minorHAnsi" w:hAnsiTheme="minorHAnsi" w:cstheme="minorHAnsi"/>
                <w:i/>
                <w:sz w:val="22"/>
                <w:szCs w:val="22"/>
              </w:rPr>
              <w:t>Okres niedostępności nieplanowanej to okres, w</w:t>
            </w:r>
            <w:r w:rsidR="00FB67C5">
              <w:rPr>
                <w:rFonts w:asciiTheme="minorHAnsi" w:hAnsiTheme="minorHAnsi" w:cstheme="minorHAnsi"/>
                <w:i/>
                <w:sz w:val="22"/>
                <w:szCs w:val="22"/>
              </w:rPr>
              <w:t> </w:t>
            </w:r>
            <w:r w:rsidRPr="00FB67C5">
              <w:rPr>
                <w:rFonts w:asciiTheme="minorHAnsi" w:hAnsiTheme="minorHAnsi" w:cstheme="minorHAnsi"/>
                <w:i/>
                <w:sz w:val="22"/>
                <w:szCs w:val="22"/>
              </w:rPr>
              <w:t>którym posiadacz skrzynki lub osoby upoważnione nie mogą korzystać ze skrzynki doręczeń z uwagi na jej niedostępność i okres ten nie został zgłoszony z</w:t>
            </w:r>
            <w:r w:rsidR="00FB67C5">
              <w:rPr>
                <w:rFonts w:asciiTheme="minorHAnsi" w:hAnsiTheme="minorHAnsi" w:cstheme="minorHAnsi"/>
                <w:i/>
                <w:sz w:val="22"/>
                <w:szCs w:val="22"/>
              </w:rPr>
              <w:t> </w:t>
            </w:r>
            <w:r w:rsidRPr="00FB67C5">
              <w:rPr>
                <w:rFonts w:asciiTheme="minorHAnsi" w:hAnsiTheme="minorHAnsi" w:cstheme="minorHAnsi"/>
                <w:i/>
                <w:sz w:val="22"/>
                <w:szCs w:val="22"/>
              </w:rPr>
              <w:t>wyprzedzeniem.”</w:t>
            </w:r>
          </w:p>
          <w:p w:rsidR="00B54FAA" w:rsidRPr="00FB67C5" w:rsidRDefault="00965792" w:rsidP="00FB67C5">
            <w:pPr>
              <w:spacing w:after="120"/>
              <w:ind w:left="3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i przeniesiono do uzasadnienia</w:t>
            </w:r>
            <w:r w:rsidR="00FB67C5" w:rsidRPr="00FB67C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24790C" w:rsidRPr="00FB67C5" w:rsidTr="00333585">
        <w:tc>
          <w:tcPr>
            <w:tcW w:w="562" w:type="dxa"/>
            <w:shd w:val="clear" w:color="auto" w:fill="auto"/>
          </w:tcPr>
          <w:p w:rsidR="0024790C" w:rsidRPr="00FB67C5" w:rsidRDefault="00885A64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24790C" w:rsidRPr="00FB67C5" w:rsidRDefault="0024790C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MAP</w:t>
            </w:r>
          </w:p>
        </w:tc>
        <w:tc>
          <w:tcPr>
            <w:tcW w:w="1276" w:type="dxa"/>
            <w:shd w:val="clear" w:color="auto" w:fill="auto"/>
          </w:tcPr>
          <w:p w:rsidR="0024790C" w:rsidRPr="00FB67C5" w:rsidRDefault="0024790C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Załącznik do rozporządzenia</w:t>
            </w:r>
          </w:p>
        </w:tc>
        <w:tc>
          <w:tcPr>
            <w:tcW w:w="3544" w:type="dxa"/>
            <w:shd w:val="clear" w:color="auto" w:fill="auto"/>
          </w:tcPr>
          <w:p w:rsidR="0024790C" w:rsidRPr="00FB67C5" w:rsidRDefault="0024790C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W trakcie prac projektowych poinformowano projektodawcę, że parametry wskazane we wzorze WW i WO nie są zasadne dla danego rozwiązania, ponieważ każdorazowo wiadomość ze skrzynki zostanie przekazana skutecznie do usługi PURDE lub PUH.</w:t>
            </w:r>
          </w:p>
        </w:tc>
        <w:tc>
          <w:tcPr>
            <w:tcW w:w="3685" w:type="dxa"/>
            <w:shd w:val="clear" w:color="auto" w:fill="auto"/>
          </w:tcPr>
          <w:p w:rsidR="00096277" w:rsidRPr="00FB67C5" w:rsidRDefault="007A3488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Proponujemy rezygnację z obu elementów wzoru. Parametry te zawsze będą miały identyczne wartości, zatem powinny zostać pominięte we wzorze.</w:t>
            </w:r>
          </w:p>
          <w:p w:rsidR="0024790C" w:rsidRPr="00FB67C5" w:rsidRDefault="0024790C" w:rsidP="00FB67C5">
            <w:pPr>
              <w:spacing w:after="120"/>
              <w:ind w:firstLine="70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87" w:type="dxa"/>
          </w:tcPr>
          <w:p w:rsidR="0093752E" w:rsidRPr="00FB67C5" w:rsidRDefault="0093752E" w:rsidP="00FB67C5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</w:t>
            </w:r>
            <w:r w:rsidR="00604172"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FB67C5">
              <w:rPr>
                <w:rFonts w:asciiTheme="minorHAnsi" w:hAnsiTheme="minorHAnsi" w:cstheme="minorHAnsi"/>
                <w:b/>
                <w:sz w:val="22"/>
                <w:szCs w:val="22"/>
              </w:rPr>
              <w:t>yjaśniona.</w:t>
            </w:r>
          </w:p>
          <w:p w:rsidR="007A3488" w:rsidRPr="00FB67C5" w:rsidRDefault="007A3488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Zgłoszoną uwagę </w:t>
            </w:r>
            <w:r w:rsidRPr="00FB67C5">
              <w:rPr>
                <w:rFonts w:asciiTheme="minorHAnsi" w:hAnsiTheme="minorHAnsi" w:cstheme="minorHAnsi"/>
                <w:i/>
                <w:sz w:val="22"/>
                <w:szCs w:val="22"/>
              </w:rPr>
              <w:t>"każdorazowo wiadomość zostanie przekazana skutecznie do usługi"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B67C5" w:rsidRPr="00FB67C5">
              <w:rPr>
                <w:rFonts w:asciiTheme="minorHAnsi" w:hAnsiTheme="minorHAnsi" w:cstheme="minorHAnsi"/>
                <w:sz w:val="22"/>
                <w:szCs w:val="22"/>
              </w:rPr>
              <w:t>projektodawca rozumie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 w ten sposób, że skrzynka zapewnia 100% dostępność funkcji wysyłki. </w:t>
            </w:r>
            <w:r w:rsidR="00FB67C5"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Należy 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jednak zwrócić uwagę, że taki wysoki poziom dostępności byłby bardzo trudny do osiągnięcia w praktyce.</w:t>
            </w:r>
          </w:p>
          <w:p w:rsidR="007A3488" w:rsidRPr="00FB67C5" w:rsidRDefault="007A3488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Wiadomość wysłana z aplikacji klienckiej i przyjęta na skrzynkę doręczeń przechodzi przez szereg czynności walidacyjnych i zmierzających do przekształcenia 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wiadomości na jedną lub więcej wiadomości przeznaczonych do wysłania usługą. Następuje także eliminowanie zagrożeń z przekazanych załączników, na co między innymi zwracają Państwo uwagę w</w:t>
            </w:r>
            <w:r w:rsidR="00FB67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komentarzach do rozporządzenia dotyczącego PUH. Konieczne jest też uwierzytelnienie </w:t>
            </w:r>
            <w:r w:rsidR="00FB67C5" w:rsidRPr="00FB67C5">
              <w:rPr>
                <w:rFonts w:asciiTheme="minorHAnsi" w:hAnsiTheme="minorHAnsi" w:cstheme="minorHAnsi"/>
                <w:sz w:val="22"/>
                <w:szCs w:val="22"/>
              </w:rPr>
              <w:t>w usłudze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 RDE, którego wymaga art. 44 eIDAS oraz Standard (wymaganie 5.4.0.5). Czynności te mogą nie zakończyć się sukcesem, obniżając w ten sposób liczbę udanych prób wysyłki.</w:t>
            </w:r>
          </w:p>
          <w:p w:rsidR="007A3488" w:rsidRPr="00FB67C5" w:rsidRDefault="007A3488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Ponadto</w:t>
            </w:r>
            <w:r w:rsidR="00FB67C5" w:rsidRPr="00FB67C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 nawet gdyby OW działał w tym obszarze z</w:t>
            </w:r>
            <w:r w:rsidR="00FB67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pełnym sukcesem, współczynniki nie będą miały </w:t>
            </w:r>
            <w:r w:rsidRPr="00FB67C5">
              <w:rPr>
                <w:rFonts w:asciiTheme="minorHAnsi" w:hAnsiTheme="minorHAnsi" w:cstheme="minorHAnsi"/>
                <w:i/>
                <w:sz w:val="22"/>
                <w:szCs w:val="22"/>
              </w:rPr>
              <w:t>"zawsze identycznych wartości":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 jeśli na 30 prób wysyłki 30 byłoby udanych, wówczas wartość współczynnika WW wyniesie 1,003, a przy 90/90 wyniesie 1,001 itd. Wobec tego obecność tych współczynników przekłada się na wynik końcowy adekwatnie do wyższej lub niższej aktywności korespondencyjnej użytkownika.</w:t>
            </w:r>
          </w:p>
          <w:p w:rsidR="007A3488" w:rsidRPr="00FB67C5" w:rsidRDefault="007A3488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Obecność parametrów WW i WO we wzorze obniża wynik końcowy tylko wtedy, gdy liczba prób wysyłki jest znacząco większa niż liczba wykonanych skutecznie wysyłek. Przy założeniu każdorazowego sukcesu wartość WW i WO podwyższa wynik końcowy dostępności osiągany przez OW, zatem działa na korzyść OW.</w:t>
            </w:r>
          </w:p>
          <w:p w:rsidR="0024790C" w:rsidRPr="00FB67C5" w:rsidRDefault="007A3488" w:rsidP="00FB67C5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>Podsumowując, niezależnie od wątpliwości</w:t>
            </w:r>
            <w:r w:rsidR="00F515BF" w:rsidRPr="00FB67C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FB67C5">
              <w:rPr>
                <w:rFonts w:asciiTheme="minorHAnsi" w:hAnsiTheme="minorHAnsi" w:cstheme="minorHAnsi"/>
                <w:sz w:val="22"/>
                <w:szCs w:val="22"/>
              </w:rPr>
              <w:t xml:space="preserve"> co do osiągania sukcesu przy każdej wysyłce, współczynniki te są zasadne, ponieważ premiują sprawne przekazywanie wiadomości do usługi i pozwalają skompensować ewentualne obniżenie dostępności wskutek niedostępności nieplanowanych.</w:t>
            </w:r>
          </w:p>
        </w:tc>
      </w:tr>
    </w:tbl>
    <w:p w:rsidR="00C64B1B" w:rsidRPr="00FB67C5" w:rsidRDefault="00C64B1B" w:rsidP="00FB67C5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sectPr w:rsidR="00C64B1B" w:rsidRPr="00FB67C5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F16" w:rsidRDefault="00371F16" w:rsidP="002F5D3D">
      <w:r>
        <w:separator/>
      </w:r>
    </w:p>
  </w:endnote>
  <w:endnote w:type="continuationSeparator" w:id="0">
    <w:p w:rsidR="00371F16" w:rsidRDefault="00371F16" w:rsidP="002F5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F16" w:rsidRDefault="00371F16" w:rsidP="002F5D3D">
      <w:r>
        <w:separator/>
      </w:r>
    </w:p>
  </w:footnote>
  <w:footnote w:type="continuationSeparator" w:id="0">
    <w:p w:rsidR="00371F16" w:rsidRDefault="00371F16" w:rsidP="002F5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F5C01"/>
    <w:multiLevelType w:val="hybridMultilevel"/>
    <w:tmpl w:val="A0988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86E35"/>
    <w:multiLevelType w:val="hybridMultilevel"/>
    <w:tmpl w:val="7AD22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56C2"/>
    <w:rsid w:val="00077C21"/>
    <w:rsid w:val="00096277"/>
    <w:rsid w:val="00140BE8"/>
    <w:rsid w:val="0019648E"/>
    <w:rsid w:val="001C328F"/>
    <w:rsid w:val="001E2CF9"/>
    <w:rsid w:val="0024790C"/>
    <w:rsid w:val="002715B2"/>
    <w:rsid w:val="00294C62"/>
    <w:rsid w:val="002B2445"/>
    <w:rsid w:val="002F5D3D"/>
    <w:rsid w:val="00310888"/>
    <w:rsid w:val="003124D1"/>
    <w:rsid w:val="00333585"/>
    <w:rsid w:val="00371F16"/>
    <w:rsid w:val="003B4105"/>
    <w:rsid w:val="003C3D3C"/>
    <w:rsid w:val="004B2A6D"/>
    <w:rsid w:val="004D086F"/>
    <w:rsid w:val="0053734B"/>
    <w:rsid w:val="00551AFE"/>
    <w:rsid w:val="00574D10"/>
    <w:rsid w:val="005B7683"/>
    <w:rsid w:val="005F6527"/>
    <w:rsid w:val="00604172"/>
    <w:rsid w:val="006705EC"/>
    <w:rsid w:val="006E16E9"/>
    <w:rsid w:val="0079754C"/>
    <w:rsid w:val="007A3488"/>
    <w:rsid w:val="00807385"/>
    <w:rsid w:val="00885A64"/>
    <w:rsid w:val="008A2790"/>
    <w:rsid w:val="008B2907"/>
    <w:rsid w:val="0093752E"/>
    <w:rsid w:val="00944932"/>
    <w:rsid w:val="00965792"/>
    <w:rsid w:val="009A6DFC"/>
    <w:rsid w:val="009E5FDB"/>
    <w:rsid w:val="00A06425"/>
    <w:rsid w:val="00A14A01"/>
    <w:rsid w:val="00A94494"/>
    <w:rsid w:val="00AC7796"/>
    <w:rsid w:val="00AE4CC5"/>
    <w:rsid w:val="00B2761A"/>
    <w:rsid w:val="00B54FAA"/>
    <w:rsid w:val="00B871B6"/>
    <w:rsid w:val="00C0572C"/>
    <w:rsid w:val="00C43619"/>
    <w:rsid w:val="00C64B1B"/>
    <w:rsid w:val="00C77E6A"/>
    <w:rsid w:val="00CD3BDD"/>
    <w:rsid w:val="00CD5EB0"/>
    <w:rsid w:val="00CE6091"/>
    <w:rsid w:val="00E14C33"/>
    <w:rsid w:val="00E51F50"/>
    <w:rsid w:val="00E96A97"/>
    <w:rsid w:val="00F14549"/>
    <w:rsid w:val="00F515BF"/>
    <w:rsid w:val="00FB4C2C"/>
    <w:rsid w:val="00FB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0B020E-D6EB-4245-A4B8-B43092444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E2CF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unhideWhenUsed/>
    <w:rsid w:val="002F5D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F5D3D"/>
  </w:style>
  <w:style w:type="character" w:styleId="Odwoanieprzypisukocowego">
    <w:name w:val="endnote reference"/>
    <w:basedOn w:val="Domylnaczcionkaakapitu"/>
    <w:semiHidden/>
    <w:unhideWhenUsed/>
    <w:rsid w:val="002F5D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E8B55-AABA-48C4-8771-C60E7F640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874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Witkowska-Krzymowska Magdalena</cp:lastModifiedBy>
  <cp:revision>12</cp:revision>
  <dcterms:created xsi:type="dcterms:W3CDTF">2021-05-26T15:19:00Z</dcterms:created>
  <dcterms:modified xsi:type="dcterms:W3CDTF">2021-05-28T21:21:00Z</dcterms:modified>
</cp:coreProperties>
</file>